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52315E" w14:textId="437144C6" w:rsidR="00DC695D" w:rsidRPr="00F5747E" w:rsidRDefault="00DC695D" w:rsidP="00F5747E">
      <w:pPr>
        <w:pStyle w:val="isselectedend"/>
        <w:jc w:val="center"/>
        <w:rPr>
          <w:sz w:val="28"/>
          <w:szCs w:val="28"/>
        </w:rPr>
      </w:pPr>
      <w:r w:rsidRPr="00F5747E">
        <w:rPr>
          <w:rStyle w:val="Naglaeno"/>
          <w:sz w:val="28"/>
          <w:szCs w:val="28"/>
        </w:rPr>
        <w:t xml:space="preserve">OBRAZLOŽENJE POLUGODIŠNJEG FINANCIJSKOG IZVJEŠTAJA ZA RAZDOBLJE </w:t>
      </w:r>
      <w:r w:rsidR="00F5747E" w:rsidRPr="00F5747E">
        <w:rPr>
          <w:rStyle w:val="Naglaeno"/>
          <w:sz w:val="28"/>
          <w:szCs w:val="28"/>
        </w:rPr>
        <w:t>1.1.-30.6.</w:t>
      </w:r>
      <w:r w:rsidRPr="00F5747E">
        <w:rPr>
          <w:rStyle w:val="Naglaeno"/>
          <w:sz w:val="28"/>
          <w:szCs w:val="28"/>
        </w:rPr>
        <w:t>2026. GODINE</w:t>
      </w:r>
    </w:p>
    <w:p w14:paraId="41A8380F" w14:textId="77777777" w:rsidR="007819FB" w:rsidRDefault="007819FB" w:rsidP="00DC695D">
      <w:pPr>
        <w:pStyle w:val="isselectedend"/>
        <w:rPr>
          <w:b/>
          <w:bCs/>
        </w:rPr>
      </w:pPr>
    </w:p>
    <w:p w14:paraId="1691825B" w14:textId="726256C8" w:rsidR="00F5747E" w:rsidRPr="007819FB" w:rsidRDefault="007819FB" w:rsidP="00DC695D">
      <w:pPr>
        <w:pStyle w:val="isselectedend"/>
        <w:rPr>
          <w:b/>
          <w:bCs/>
        </w:rPr>
      </w:pPr>
      <w:r w:rsidRPr="007819FB">
        <w:rPr>
          <w:b/>
          <w:bCs/>
        </w:rPr>
        <w:t>Obrazloženje obrasca PR-RAS</w:t>
      </w:r>
    </w:p>
    <w:p w14:paraId="443CB51F" w14:textId="6B682CF4" w:rsidR="00DC695D" w:rsidRPr="00F5747E" w:rsidRDefault="00DC695D" w:rsidP="00F5747E">
      <w:pPr>
        <w:pStyle w:val="isselectedend"/>
        <w:jc w:val="both"/>
      </w:pPr>
      <w:r w:rsidRPr="00F5747E">
        <w:t>Financijski izvještaj Srednje škole Petrinja za razdoblje od 1. siječnja do 30. lipnja 2026. godine sastavljen je u skladu s važećim propisima o proračunskom računovodstvu i financijskom izvještavanju.</w:t>
      </w:r>
    </w:p>
    <w:p w14:paraId="67FD3529" w14:textId="77777777" w:rsidR="00DC695D" w:rsidRPr="00F5747E" w:rsidRDefault="00DC695D" w:rsidP="00F5747E">
      <w:pPr>
        <w:pStyle w:val="isselectedend"/>
        <w:jc w:val="both"/>
      </w:pPr>
      <w:r w:rsidRPr="00F5747E">
        <w:t xml:space="preserve">U izvještajnom razdoblju ostvareni su ukupni prihodi poslovanja u iznosu od </w:t>
      </w:r>
      <w:r w:rsidRPr="00F5747E">
        <w:rPr>
          <w:rStyle w:val="Naglaeno"/>
        </w:rPr>
        <w:t>1.292.913,33 EUR</w:t>
      </w:r>
      <w:r w:rsidRPr="00F5747E">
        <w:t xml:space="preserve">, što predstavlja povećanje od približno </w:t>
      </w:r>
      <w:r w:rsidRPr="00F5747E">
        <w:rPr>
          <w:rStyle w:val="Naglaeno"/>
        </w:rPr>
        <w:t>18 %</w:t>
      </w:r>
      <w:r w:rsidRPr="00F5747E">
        <w:t xml:space="preserve"> u odnosu na isto razdoblje prethodne godine, kada su iznosili </w:t>
      </w:r>
      <w:r w:rsidRPr="00F5747E">
        <w:rPr>
          <w:rStyle w:val="Naglaeno"/>
        </w:rPr>
        <w:t>1.095.328,51 EUR</w:t>
      </w:r>
      <w:r w:rsidRPr="00F5747E">
        <w:t>.</w:t>
      </w:r>
    </w:p>
    <w:p w14:paraId="77ED49FF" w14:textId="77777777" w:rsidR="00DC695D" w:rsidRPr="00F5747E" w:rsidRDefault="00DC695D" w:rsidP="00F5747E">
      <w:pPr>
        <w:pStyle w:val="isselectedend"/>
        <w:jc w:val="both"/>
      </w:pPr>
      <w:r w:rsidRPr="00F5747E">
        <w:t xml:space="preserve">Ukupni rashodi i izdaci ostvareni su u iznosu od </w:t>
      </w:r>
      <w:r w:rsidRPr="00F5747E">
        <w:rPr>
          <w:rStyle w:val="Naglaeno"/>
        </w:rPr>
        <w:t>1.223.276,45 EUR</w:t>
      </w:r>
      <w:r w:rsidRPr="00F5747E">
        <w:t xml:space="preserve">, što je povećanje od približno </w:t>
      </w:r>
      <w:r w:rsidRPr="00F5747E">
        <w:rPr>
          <w:rStyle w:val="Naglaeno"/>
        </w:rPr>
        <w:t>11 %</w:t>
      </w:r>
      <w:r w:rsidRPr="00F5747E">
        <w:t xml:space="preserve"> u odnosu na isto razdoblje prethodne godine (</w:t>
      </w:r>
      <w:r w:rsidRPr="00F5747E">
        <w:rPr>
          <w:rStyle w:val="Naglaeno"/>
        </w:rPr>
        <w:t>1.098.727,71 EUR</w:t>
      </w:r>
      <w:r w:rsidRPr="00F5747E">
        <w:t>). Povećanje rashoda rezultat je redovitog poslovanja škole te povećanih troškova provedbe nastavnih i drugih aktivnosti, kao i ulaganja u nabavu nefinancijske imovine.</w:t>
      </w:r>
    </w:p>
    <w:p w14:paraId="653CAF40" w14:textId="77777777" w:rsidR="00DC695D" w:rsidRPr="00F5747E" w:rsidRDefault="00DC695D" w:rsidP="00F5747E">
      <w:pPr>
        <w:pStyle w:val="isselectedend"/>
        <w:jc w:val="both"/>
      </w:pPr>
      <w:r w:rsidRPr="00F5747E">
        <w:t xml:space="preserve">Na kraju izvještajnog razdoblja ostvaren je </w:t>
      </w:r>
      <w:r w:rsidRPr="00F5747E">
        <w:rPr>
          <w:rStyle w:val="Naglaeno"/>
        </w:rPr>
        <w:t>višak prihoda i primitaka u iznosu od 69.636,88 EUR</w:t>
      </w:r>
      <w:r w:rsidRPr="00F5747E">
        <w:t>, što ukazuje na stabilno i odgovorno financijsko poslovanje škole te osigurava sredstva za podmirenje budućih obveza i provedbu planiranih aktivnosti.</w:t>
      </w:r>
    </w:p>
    <w:p w14:paraId="641C0E94" w14:textId="55B07379" w:rsidR="00DC695D" w:rsidRPr="00F5747E" w:rsidRDefault="00DC695D" w:rsidP="00F5747E">
      <w:pPr>
        <w:pStyle w:val="isselectedend"/>
        <w:jc w:val="both"/>
      </w:pPr>
      <w:r w:rsidRPr="00F5747E">
        <w:t>Poslovanje škole tijekom prvog polugodišta 2026. godine odvijalo se uredno, a financijska sredstva korištena su namjenski</w:t>
      </w:r>
      <w:r w:rsidR="00F5747E">
        <w:t>.</w:t>
      </w:r>
    </w:p>
    <w:p w14:paraId="4B04427F" w14:textId="270E5072" w:rsidR="00F02BBC" w:rsidRPr="00F5747E" w:rsidRDefault="00DC695D" w:rsidP="00F5747E">
      <w:pPr>
        <w:jc w:val="both"/>
        <w:rPr>
          <w:rFonts w:ascii="Times New Roman" w:hAnsi="Times New Roman" w:cs="Times New Roman"/>
          <w:sz w:val="24"/>
          <w:szCs w:val="24"/>
        </w:rPr>
      </w:pPr>
      <w:r w:rsidRPr="00F5747E">
        <w:rPr>
          <w:rFonts w:ascii="Times New Roman" w:hAnsi="Times New Roman" w:cs="Times New Roman"/>
          <w:sz w:val="24"/>
          <w:szCs w:val="24"/>
        </w:rPr>
        <w:t xml:space="preserve">Materijalni rashodi ostvareni su u iznosu od </w:t>
      </w:r>
      <w:r w:rsidRPr="00F5747E">
        <w:rPr>
          <w:rStyle w:val="Naglaeno"/>
          <w:rFonts w:ascii="Times New Roman" w:hAnsi="Times New Roman" w:cs="Times New Roman"/>
          <w:sz w:val="24"/>
          <w:szCs w:val="24"/>
        </w:rPr>
        <w:t>223.702,69 EUR</w:t>
      </w:r>
      <w:r w:rsidRPr="00F5747E">
        <w:rPr>
          <w:rFonts w:ascii="Times New Roman" w:hAnsi="Times New Roman" w:cs="Times New Roman"/>
          <w:sz w:val="24"/>
          <w:szCs w:val="24"/>
        </w:rPr>
        <w:t xml:space="preserve">, što je za </w:t>
      </w:r>
      <w:r w:rsidRPr="00F5747E">
        <w:rPr>
          <w:rStyle w:val="Naglaeno"/>
          <w:rFonts w:ascii="Times New Roman" w:hAnsi="Times New Roman" w:cs="Times New Roman"/>
          <w:sz w:val="24"/>
          <w:szCs w:val="24"/>
        </w:rPr>
        <w:t>36.171,44 EUR</w:t>
      </w:r>
      <w:r w:rsidRPr="00F5747E">
        <w:rPr>
          <w:rFonts w:ascii="Times New Roman" w:hAnsi="Times New Roman" w:cs="Times New Roman"/>
          <w:sz w:val="24"/>
          <w:szCs w:val="24"/>
        </w:rPr>
        <w:t xml:space="preserve">, odnosno </w:t>
      </w:r>
      <w:r w:rsidRPr="00F5747E">
        <w:rPr>
          <w:rStyle w:val="Naglaeno"/>
          <w:rFonts w:ascii="Times New Roman" w:hAnsi="Times New Roman" w:cs="Times New Roman"/>
          <w:sz w:val="24"/>
          <w:szCs w:val="24"/>
        </w:rPr>
        <w:t>19,3 %</w:t>
      </w:r>
      <w:r w:rsidRPr="00F5747E">
        <w:rPr>
          <w:rFonts w:ascii="Times New Roman" w:hAnsi="Times New Roman" w:cs="Times New Roman"/>
          <w:sz w:val="24"/>
          <w:szCs w:val="24"/>
        </w:rPr>
        <w:t xml:space="preserve">, više u odnosu na isto razdoblje prethodne godine, kada su iznosili </w:t>
      </w:r>
      <w:r w:rsidRPr="00F5747E">
        <w:rPr>
          <w:rStyle w:val="Naglaeno"/>
          <w:rFonts w:ascii="Times New Roman" w:hAnsi="Times New Roman" w:cs="Times New Roman"/>
          <w:sz w:val="24"/>
          <w:szCs w:val="24"/>
        </w:rPr>
        <w:t>187.531,25 EUR</w:t>
      </w:r>
      <w:r w:rsidRPr="00F5747E">
        <w:rPr>
          <w:rFonts w:ascii="Times New Roman" w:hAnsi="Times New Roman" w:cs="Times New Roman"/>
          <w:sz w:val="24"/>
          <w:szCs w:val="24"/>
        </w:rPr>
        <w:t xml:space="preserve">. Povećanje materijalnih rashoda odnosi se prvenstveno na veće troškove energije, komunalnih i ostalih usluga, nabave materijala i sitnog inventara potrebnog za redovno odvijanje nastavnog procesa, kao i na povećane rashode vezane uz provedbu školskih aktivnosti i projekata. </w:t>
      </w:r>
    </w:p>
    <w:p w14:paraId="51AAD616" w14:textId="77777777" w:rsidR="00DC695D" w:rsidRDefault="00DC695D" w:rsidP="00DC695D">
      <w:pPr>
        <w:pStyle w:val="isselectedend"/>
      </w:pPr>
      <w:r>
        <w:rPr>
          <w:rStyle w:val="Naglaeno"/>
        </w:rPr>
        <w:t>Komentar ostvarenog viška prihoda</w:t>
      </w:r>
    </w:p>
    <w:p w14:paraId="21E3ECC0" w14:textId="77777777" w:rsidR="00DC695D" w:rsidRPr="007819FB" w:rsidRDefault="00DC695D" w:rsidP="007819FB">
      <w:pPr>
        <w:pStyle w:val="isselectedend"/>
        <w:jc w:val="both"/>
      </w:pPr>
      <w:r w:rsidRPr="007819FB">
        <w:t xml:space="preserve">Na kraju izvještajnog razdoblja ostvaren je višak prihoda i primitaka u iznosu od </w:t>
      </w:r>
      <w:r w:rsidRPr="007819FB">
        <w:rPr>
          <w:rStyle w:val="Naglaeno"/>
        </w:rPr>
        <w:t>69.636,88 EUR</w:t>
      </w:r>
      <w:r w:rsidRPr="007819FB">
        <w:t>. Ostvareni višak rezultat je veće realizacije prihoda u odnosu na izvršene rashode tijekom prvog polugodišta, odnosno vremenske razlike između uplate sredstava i izvršenja planiranih rashoda.</w:t>
      </w:r>
    </w:p>
    <w:p w14:paraId="3F457449" w14:textId="77777777" w:rsidR="007819FB" w:rsidRPr="007819FB" w:rsidRDefault="007819FB" w:rsidP="007819FB">
      <w:pPr>
        <w:jc w:val="both"/>
        <w:rPr>
          <w:rFonts w:ascii="Times New Roman" w:hAnsi="Times New Roman" w:cs="Times New Roman"/>
          <w:sz w:val="24"/>
          <w:szCs w:val="24"/>
        </w:rPr>
      </w:pPr>
      <w:r w:rsidRPr="007819FB">
        <w:rPr>
          <w:rFonts w:ascii="Times New Roman" w:hAnsi="Times New Roman" w:cs="Times New Roman"/>
          <w:sz w:val="24"/>
          <w:szCs w:val="24"/>
        </w:rPr>
        <w:t xml:space="preserve">Iako je u prvom polugodištu 2026. godine ostvaren višak prihoda i primitaka u iznosu od </w:t>
      </w:r>
      <w:r w:rsidRPr="007819FB">
        <w:rPr>
          <w:rStyle w:val="Naglaeno"/>
          <w:rFonts w:ascii="Times New Roman" w:hAnsi="Times New Roman" w:cs="Times New Roman"/>
          <w:sz w:val="24"/>
          <w:szCs w:val="24"/>
        </w:rPr>
        <w:t>69.636,88 EUR</w:t>
      </w:r>
      <w:r w:rsidRPr="007819FB">
        <w:rPr>
          <w:rFonts w:ascii="Times New Roman" w:hAnsi="Times New Roman" w:cs="Times New Roman"/>
          <w:sz w:val="24"/>
          <w:szCs w:val="24"/>
        </w:rPr>
        <w:t xml:space="preserve">, na Referentnoj stranici iskazan je </w:t>
      </w:r>
      <w:r w:rsidRPr="007819FB">
        <w:rPr>
          <w:rStyle w:val="Naglaeno"/>
          <w:rFonts w:ascii="Times New Roman" w:hAnsi="Times New Roman" w:cs="Times New Roman"/>
          <w:sz w:val="24"/>
          <w:szCs w:val="24"/>
        </w:rPr>
        <w:t>manjak prihoda i primitaka za pokriće u sljedećem razdoblju u iznosu od 138.238,77 EUR</w:t>
      </w:r>
      <w:r w:rsidRPr="007819FB">
        <w:rPr>
          <w:rFonts w:ascii="Times New Roman" w:hAnsi="Times New Roman" w:cs="Times New Roman"/>
          <w:sz w:val="24"/>
          <w:szCs w:val="24"/>
        </w:rPr>
        <w:t xml:space="preserve">. Navedeni iznos predstavlja kumulirani rezultat poslovanja iz prethodnih godina uvećan odnosno umanjen za rezultat ostvaren u izvještajnom razdoblju. Ostvareni višak u prvom polugodištu smanjio je preneseni manjak iz prethodnih godina, ali ga nije u cijelosti pokrio. </w:t>
      </w:r>
    </w:p>
    <w:p w14:paraId="6BE74933" w14:textId="08FBCF1E" w:rsidR="00DC695D" w:rsidRPr="007819FB" w:rsidRDefault="00DC695D" w:rsidP="007819FB">
      <w:pPr>
        <w:jc w:val="both"/>
        <w:rPr>
          <w:rFonts w:ascii="Times New Roman" w:hAnsi="Times New Roman" w:cs="Times New Roman"/>
          <w:sz w:val="24"/>
          <w:szCs w:val="24"/>
        </w:rPr>
      </w:pPr>
      <w:r w:rsidRPr="007819FB">
        <w:rPr>
          <w:rStyle w:val="Naglaeno"/>
          <w:rFonts w:ascii="Times New Roman" w:hAnsi="Times New Roman" w:cs="Times New Roman"/>
          <w:sz w:val="24"/>
          <w:szCs w:val="24"/>
        </w:rPr>
        <w:lastRenderedPageBreak/>
        <w:t>Obrazloženje obrasca OBVEZE</w:t>
      </w:r>
    </w:p>
    <w:p w14:paraId="22F00E02" w14:textId="77777777" w:rsidR="00DC695D" w:rsidRDefault="00DC695D" w:rsidP="007819FB">
      <w:pPr>
        <w:pStyle w:val="isselectedend"/>
        <w:jc w:val="both"/>
      </w:pPr>
      <w:r>
        <w:t xml:space="preserve">Prema Izvještaju o obvezama, stanje obveza na početku izvještajnog razdoblja (1. siječnja 2026.) iznosilo je </w:t>
      </w:r>
      <w:r>
        <w:rPr>
          <w:rStyle w:val="Naglaeno"/>
        </w:rPr>
        <w:t>151.949,07 EUR</w:t>
      </w:r>
      <w:r>
        <w:t>.</w:t>
      </w:r>
    </w:p>
    <w:p w14:paraId="6E562C87" w14:textId="77777777" w:rsidR="00DC695D" w:rsidRDefault="00DC695D" w:rsidP="007819FB">
      <w:pPr>
        <w:pStyle w:val="isselectedend"/>
        <w:jc w:val="both"/>
      </w:pPr>
      <w:r>
        <w:t xml:space="preserve">Tijekom razdoblja od 1. siječnja do 30. lipnja 2026. godine nastale su nove obveze u ukupnom iznosu od </w:t>
      </w:r>
      <w:r>
        <w:rPr>
          <w:rStyle w:val="Naglaeno"/>
        </w:rPr>
        <w:t>1.228.830,70 EUR</w:t>
      </w:r>
      <w:r>
        <w:t>, od čega se najveći dio odnosi na obveze za zaposlene (</w:t>
      </w:r>
      <w:r>
        <w:rPr>
          <w:rStyle w:val="Naglaeno"/>
        </w:rPr>
        <w:t>959.679,76 EUR</w:t>
      </w:r>
      <w:r>
        <w:t>) te obveze za materijalne rashode (</w:t>
      </w:r>
      <w:r>
        <w:rPr>
          <w:rStyle w:val="Naglaeno"/>
        </w:rPr>
        <w:t>244.863,95 EUR</w:t>
      </w:r>
      <w:r>
        <w:t xml:space="preserve">). U istom razdoblju podmirene su obveze u ukupnom iznosu od </w:t>
      </w:r>
      <w:r>
        <w:rPr>
          <w:rStyle w:val="Naglaeno"/>
        </w:rPr>
        <w:t>1.317.196,23 EUR</w:t>
      </w:r>
      <w:r>
        <w:t>, što je više od iznosa novonastalih obveza, čime je dodatno smanjeno ukupno stanje obveza.</w:t>
      </w:r>
    </w:p>
    <w:p w14:paraId="7AF73405" w14:textId="77777777" w:rsidR="00DC695D" w:rsidRDefault="00DC695D" w:rsidP="007819FB">
      <w:pPr>
        <w:pStyle w:val="isselectedend"/>
        <w:jc w:val="both"/>
      </w:pPr>
      <w:r>
        <w:t xml:space="preserve">Na dan 30. lipnja 2026. godine ukupne obveze iznose </w:t>
      </w:r>
      <w:r>
        <w:rPr>
          <w:rStyle w:val="Naglaeno"/>
        </w:rPr>
        <w:t>63.583,54 EUR</w:t>
      </w:r>
      <w:r>
        <w:t>, što predstavlja značajno smanjenje u odnosu na stanje na početku godine te potvrđuje uredno izvršavanje financijskih obveza i održavanje likvidnosti ustanove.</w:t>
      </w:r>
    </w:p>
    <w:p w14:paraId="70570114" w14:textId="3C4ACB7A" w:rsidR="005959ED" w:rsidRDefault="00DC695D" w:rsidP="005959ED">
      <w:pPr>
        <w:pStyle w:val="isselectedend"/>
        <w:jc w:val="both"/>
      </w:pPr>
      <w:r>
        <w:t xml:space="preserve">Dospjele obveze na kraju izvještajnog razdoblja iznose </w:t>
      </w:r>
      <w:r>
        <w:rPr>
          <w:rStyle w:val="Naglaeno"/>
        </w:rPr>
        <w:t>579,54 EUR</w:t>
      </w:r>
      <w:r>
        <w:t xml:space="preserve"> i odnose se na međusobne obveze subjekata općeg proračuna s prekoračenjem do 60 dana. Škola nema dospjelih obveza prema dobavljačima, zaposlenima niti po osnovi financijskih rashoda, kao ni obveza starijih od 60 dana. Također, škola nema obveza po kreditima, zajmovima ni drugim financijskim instrumentima.</w:t>
      </w:r>
    </w:p>
    <w:p w14:paraId="1C6CED60" w14:textId="19DB3E7D" w:rsidR="005959ED" w:rsidRDefault="005959ED" w:rsidP="005959ED">
      <w:pPr>
        <w:pStyle w:val="isselectedend"/>
        <w:jc w:val="both"/>
      </w:pPr>
    </w:p>
    <w:p w14:paraId="0AF9073F" w14:textId="0E97BA75" w:rsidR="005959ED" w:rsidRDefault="005959ED" w:rsidP="005959ED">
      <w:pPr>
        <w:pStyle w:val="isselectedend"/>
        <w:jc w:val="both"/>
      </w:pPr>
    </w:p>
    <w:p w14:paraId="6DD8C150" w14:textId="59ECBA46" w:rsidR="005959ED" w:rsidRPr="005959ED" w:rsidRDefault="005959ED" w:rsidP="005959ED">
      <w:pPr>
        <w:pStyle w:val="isselectedend"/>
        <w:jc w:val="both"/>
        <w:rPr>
          <w:b/>
          <w:bCs/>
        </w:rPr>
      </w:pPr>
      <w:r w:rsidRPr="005959ED">
        <w:rPr>
          <w:b/>
          <w:bCs/>
        </w:rPr>
        <w:t>Obrazloženje obrasca EU izvještaj po izvorima financiranja</w:t>
      </w:r>
    </w:p>
    <w:p w14:paraId="7E7867D7" w14:textId="223872CF" w:rsidR="005959ED" w:rsidRPr="005959ED" w:rsidRDefault="005959ED" w:rsidP="005959ED">
      <w:pPr>
        <w:spacing w:before="100" w:beforeAutospacing="1" w:after="100" w:afterAutospacing="1" w:line="240" w:lineRule="auto"/>
        <w:jc w:val="both"/>
        <w:rPr>
          <w:rFonts w:ascii="Times New Roman" w:eastAsia="Times New Roman" w:hAnsi="Times New Roman" w:cs="Times New Roman"/>
          <w:sz w:val="24"/>
          <w:szCs w:val="24"/>
          <w:lang w:eastAsia="hr-HR"/>
        </w:rPr>
      </w:pPr>
      <w:r w:rsidRPr="005959ED">
        <w:rPr>
          <w:rFonts w:ascii="Times New Roman" w:eastAsia="Times New Roman" w:hAnsi="Times New Roman" w:cs="Times New Roman"/>
          <w:sz w:val="24"/>
          <w:szCs w:val="24"/>
          <w:lang w:eastAsia="hr-HR"/>
        </w:rPr>
        <w:t xml:space="preserve">Izvještaj pokazuje da su u promatranom razdoblju evidentirani isključivo rashodi financirani iz EU sredstava u ukupnom iznosu od </w:t>
      </w:r>
      <w:r w:rsidRPr="005959ED">
        <w:rPr>
          <w:rFonts w:ascii="Times New Roman" w:eastAsia="Times New Roman" w:hAnsi="Times New Roman" w:cs="Times New Roman"/>
          <w:b/>
          <w:bCs/>
          <w:sz w:val="24"/>
          <w:szCs w:val="24"/>
          <w:lang w:eastAsia="hr-HR"/>
        </w:rPr>
        <w:t>39.076,36 €</w:t>
      </w:r>
      <w:r w:rsidRPr="005959ED">
        <w:rPr>
          <w:rFonts w:ascii="Times New Roman" w:eastAsia="Times New Roman" w:hAnsi="Times New Roman" w:cs="Times New Roman"/>
          <w:sz w:val="24"/>
          <w:szCs w:val="24"/>
          <w:lang w:eastAsia="hr-HR"/>
        </w:rPr>
        <w:t>, dok prihodi nisu iskazani.</w:t>
      </w:r>
    </w:p>
    <w:p w14:paraId="6C34A94D" w14:textId="77777777" w:rsidR="005959ED" w:rsidRPr="005959ED" w:rsidRDefault="005959ED" w:rsidP="005959ED">
      <w:pPr>
        <w:spacing w:before="100" w:beforeAutospacing="1" w:after="100" w:afterAutospacing="1" w:line="240" w:lineRule="auto"/>
        <w:jc w:val="both"/>
        <w:rPr>
          <w:rFonts w:ascii="Times New Roman" w:eastAsia="Times New Roman" w:hAnsi="Times New Roman" w:cs="Times New Roman"/>
          <w:sz w:val="24"/>
          <w:szCs w:val="24"/>
          <w:lang w:eastAsia="hr-HR"/>
        </w:rPr>
      </w:pPr>
      <w:r w:rsidRPr="005959ED">
        <w:rPr>
          <w:rFonts w:ascii="Times New Roman" w:eastAsia="Times New Roman" w:hAnsi="Times New Roman" w:cs="Times New Roman"/>
          <w:sz w:val="24"/>
          <w:szCs w:val="24"/>
          <w:lang w:eastAsia="hr-HR"/>
        </w:rPr>
        <w:t xml:space="preserve">Najveći dio rashoda odnosi se na </w:t>
      </w:r>
      <w:r w:rsidRPr="005959ED">
        <w:rPr>
          <w:rFonts w:ascii="Times New Roman" w:eastAsia="Times New Roman" w:hAnsi="Times New Roman" w:cs="Times New Roman"/>
          <w:b/>
          <w:bCs/>
          <w:sz w:val="24"/>
          <w:szCs w:val="24"/>
          <w:lang w:eastAsia="hr-HR"/>
        </w:rPr>
        <w:t>plaće zaposlenih</w:t>
      </w:r>
      <w:r w:rsidRPr="005959ED">
        <w:rPr>
          <w:rFonts w:ascii="Times New Roman" w:eastAsia="Times New Roman" w:hAnsi="Times New Roman" w:cs="Times New Roman"/>
          <w:sz w:val="24"/>
          <w:szCs w:val="24"/>
          <w:lang w:eastAsia="hr-HR"/>
        </w:rPr>
        <w:t xml:space="preserve"> (22.458,29 € odnosno 57,5 % ukupnih rashoda), zatim na </w:t>
      </w:r>
      <w:r w:rsidRPr="005959ED">
        <w:rPr>
          <w:rFonts w:ascii="Times New Roman" w:eastAsia="Times New Roman" w:hAnsi="Times New Roman" w:cs="Times New Roman"/>
          <w:b/>
          <w:bCs/>
          <w:sz w:val="24"/>
          <w:szCs w:val="24"/>
          <w:lang w:eastAsia="hr-HR"/>
        </w:rPr>
        <w:t>usluge telefona, interneta, pošte i prijevoza</w:t>
      </w:r>
      <w:r w:rsidRPr="005959ED">
        <w:rPr>
          <w:rFonts w:ascii="Times New Roman" w:eastAsia="Times New Roman" w:hAnsi="Times New Roman" w:cs="Times New Roman"/>
          <w:sz w:val="24"/>
          <w:szCs w:val="24"/>
          <w:lang w:eastAsia="hr-HR"/>
        </w:rPr>
        <w:t xml:space="preserve"> (15.581,42 € odnosno 39,9 %), dok </w:t>
      </w:r>
      <w:r w:rsidRPr="005959ED">
        <w:rPr>
          <w:rFonts w:ascii="Times New Roman" w:eastAsia="Times New Roman" w:hAnsi="Times New Roman" w:cs="Times New Roman"/>
          <w:b/>
          <w:bCs/>
          <w:sz w:val="24"/>
          <w:szCs w:val="24"/>
          <w:lang w:eastAsia="hr-HR"/>
        </w:rPr>
        <w:t>premije osiguranja</w:t>
      </w:r>
      <w:r w:rsidRPr="005959ED">
        <w:rPr>
          <w:rFonts w:ascii="Times New Roman" w:eastAsia="Times New Roman" w:hAnsi="Times New Roman" w:cs="Times New Roman"/>
          <w:sz w:val="24"/>
          <w:szCs w:val="24"/>
          <w:lang w:eastAsia="hr-HR"/>
        </w:rPr>
        <w:t xml:space="preserve"> iznose 1.036,65 € (2,6 %).</w:t>
      </w:r>
    </w:p>
    <w:p w14:paraId="3B4FD51A" w14:textId="298BBCA8" w:rsidR="005959ED" w:rsidRPr="005959ED" w:rsidRDefault="005959ED" w:rsidP="005959ED">
      <w:pPr>
        <w:spacing w:before="100" w:beforeAutospacing="1" w:after="100" w:afterAutospacing="1" w:line="240" w:lineRule="auto"/>
        <w:jc w:val="both"/>
        <w:rPr>
          <w:rFonts w:ascii="Times New Roman" w:eastAsia="Times New Roman" w:hAnsi="Times New Roman" w:cs="Times New Roman"/>
          <w:sz w:val="24"/>
          <w:szCs w:val="24"/>
          <w:lang w:eastAsia="hr-HR"/>
        </w:rPr>
      </w:pPr>
      <w:r w:rsidRPr="005959ED">
        <w:rPr>
          <w:rFonts w:ascii="Times New Roman" w:eastAsia="Times New Roman" w:hAnsi="Times New Roman" w:cs="Times New Roman"/>
          <w:sz w:val="24"/>
          <w:szCs w:val="24"/>
          <w:lang w:eastAsia="hr-HR"/>
        </w:rPr>
        <w:t xml:space="preserve">Prema dostavljenim podacima, svi evidentirani rashodi financirani su iz EU izvora. Izvještaj je financijski usklađen, a izostanak evidentiranih prihoda </w:t>
      </w:r>
      <w:r>
        <w:rPr>
          <w:rFonts w:ascii="Times New Roman" w:eastAsia="Times New Roman" w:hAnsi="Times New Roman" w:cs="Times New Roman"/>
          <w:sz w:val="24"/>
          <w:szCs w:val="24"/>
          <w:lang w:eastAsia="hr-HR"/>
        </w:rPr>
        <w:t>je iz razloga što se koriste sredstva iz 2024.g.</w:t>
      </w:r>
    </w:p>
    <w:p w14:paraId="69B2F661" w14:textId="77777777" w:rsidR="005959ED" w:rsidRDefault="005959ED" w:rsidP="005959ED">
      <w:pPr>
        <w:pStyle w:val="isselectedend"/>
        <w:jc w:val="both"/>
      </w:pPr>
    </w:p>
    <w:p w14:paraId="6C1B425D" w14:textId="77777777" w:rsidR="005959ED" w:rsidRDefault="005959ED" w:rsidP="005959ED">
      <w:pPr>
        <w:pStyle w:val="isselectedend"/>
        <w:jc w:val="both"/>
      </w:pPr>
    </w:p>
    <w:sectPr w:rsidR="005959ED" w:rsidSect="00B951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95D"/>
    <w:rsid w:val="005959ED"/>
    <w:rsid w:val="007819FB"/>
    <w:rsid w:val="00B95150"/>
    <w:rsid w:val="00DC695D"/>
    <w:rsid w:val="00F02BBC"/>
    <w:rsid w:val="00F574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50B5"/>
  <w15:chartTrackingRefBased/>
  <w15:docId w15:val="{DC124131-0E59-4915-933E-100A286BD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isselectedend">
    <w:name w:val="isselectedend"/>
    <w:basedOn w:val="Normal"/>
    <w:rsid w:val="00DC695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DC695D"/>
    <w:rPr>
      <w:b/>
      <w:bCs/>
    </w:rPr>
  </w:style>
  <w:style w:type="paragraph" w:styleId="StandardWeb">
    <w:name w:val="Normal (Web)"/>
    <w:basedOn w:val="Normal"/>
    <w:uiPriority w:val="99"/>
    <w:semiHidden/>
    <w:unhideWhenUsed/>
    <w:rsid w:val="00DC695D"/>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538630">
      <w:bodyDiv w:val="1"/>
      <w:marLeft w:val="0"/>
      <w:marRight w:val="0"/>
      <w:marTop w:val="0"/>
      <w:marBottom w:val="0"/>
      <w:divBdr>
        <w:top w:val="none" w:sz="0" w:space="0" w:color="auto"/>
        <w:left w:val="none" w:sz="0" w:space="0" w:color="auto"/>
        <w:bottom w:val="none" w:sz="0" w:space="0" w:color="auto"/>
        <w:right w:val="none" w:sz="0" w:space="0" w:color="auto"/>
      </w:divBdr>
    </w:div>
    <w:div w:id="424159051">
      <w:bodyDiv w:val="1"/>
      <w:marLeft w:val="0"/>
      <w:marRight w:val="0"/>
      <w:marTop w:val="0"/>
      <w:marBottom w:val="0"/>
      <w:divBdr>
        <w:top w:val="none" w:sz="0" w:space="0" w:color="auto"/>
        <w:left w:val="none" w:sz="0" w:space="0" w:color="auto"/>
        <w:bottom w:val="none" w:sz="0" w:space="0" w:color="auto"/>
        <w:right w:val="none" w:sz="0" w:space="0" w:color="auto"/>
      </w:divBdr>
    </w:div>
    <w:div w:id="1844589139">
      <w:bodyDiv w:val="1"/>
      <w:marLeft w:val="0"/>
      <w:marRight w:val="0"/>
      <w:marTop w:val="0"/>
      <w:marBottom w:val="0"/>
      <w:divBdr>
        <w:top w:val="none" w:sz="0" w:space="0" w:color="auto"/>
        <w:left w:val="none" w:sz="0" w:space="0" w:color="auto"/>
        <w:bottom w:val="none" w:sz="0" w:space="0" w:color="auto"/>
        <w:right w:val="none" w:sz="0" w:space="0" w:color="auto"/>
      </w:divBdr>
    </w:div>
    <w:div w:id="187619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647</Words>
  <Characters>3691</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2026-07-13T09:12:00Z</dcterms:created>
  <dcterms:modified xsi:type="dcterms:W3CDTF">2026-07-15T07:29:00Z</dcterms:modified>
</cp:coreProperties>
</file>